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EF" w:rsidRPr="0070573E" w:rsidRDefault="00A866EF" w:rsidP="00A866EF">
      <w:pPr>
        <w:spacing w:line="360" w:lineRule="auto"/>
        <w:jc w:val="center"/>
        <w:rPr>
          <w:rFonts w:ascii="Times New Roman" w:hAnsi="Times New Roman" w:cs="Times New Roman"/>
          <w:b/>
          <w:bCs/>
          <w:sz w:val="26"/>
          <w:szCs w:val="26"/>
        </w:rPr>
      </w:pPr>
      <w:r w:rsidRPr="0070573E">
        <w:rPr>
          <w:rFonts w:ascii="Times New Roman" w:hAnsi="Times New Roman" w:cs="Times New Roman"/>
          <w:b/>
          <w:bCs/>
          <w:sz w:val="26"/>
          <w:szCs w:val="26"/>
        </w:rPr>
        <w:t>CÂU HỎI VÀ CÂU TRẢ LỜI THƯỜNG GẶP</w:t>
      </w:r>
    </w:p>
    <w:p w:rsidR="00A866EF" w:rsidRDefault="00A866EF" w:rsidP="00A866EF">
      <w:pPr>
        <w:spacing w:line="360" w:lineRule="auto"/>
        <w:jc w:val="center"/>
        <w:rPr>
          <w:rFonts w:ascii="Times New Roman" w:hAnsi="Times New Roman" w:cs="Times New Roman"/>
          <w:b/>
          <w:bCs/>
          <w:color w:val="FF0000"/>
          <w:sz w:val="28"/>
          <w:szCs w:val="26"/>
        </w:rPr>
      </w:pPr>
      <w:r w:rsidRPr="004F3377">
        <w:rPr>
          <w:rFonts w:ascii="Times New Roman" w:hAnsi="Times New Roman" w:cs="Times New Roman"/>
          <w:b/>
          <w:bCs/>
          <w:color w:val="FF0000"/>
          <w:sz w:val="28"/>
          <w:szCs w:val="26"/>
        </w:rPr>
        <w:t xml:space="preserve">NỘI DUNG: </w:t>
      </w:r>
      <w:r>
        <w:rPr>
          <w:rFonts w:ascii="Times New Roman" w:hAnsi="Times New Roman" w:cs="Times New Roman"/>
          <w:b/>
          <w:bCs/>
          <w:color w:val="FF0000"/>
          <w:sz w:val="28"/>
          <w:szCs w:val="26"/>
        </w:rPr>
        <w:t>KHÓA LUẬN VÀ TỐT NGHIỆP</w:t>
      </w:r>
    </w:p>
    <w:p w:rsidR="00A866EF" w:rsidRPr="0070573E" w:rsidRDefault="00A866EF" w:rsidP="00766877">
      <w:pPr>
        <w:spacing w:after="0" w:line="360" w:lineRule="auto"/>
        <w:ind w:firstLine="720"/>
        <w:jc w:val="both"/>
        <w:rPr>
          <w:rFonts w:ascii="Times New Roman" w:hAnsi="Times New Roman" w:cs="Times New Roman"/>
          <w:b/>
          <w:sz w:val="26"/>
          <w:szCs w:val="26"/>
        </w:rPr>
      </w:pPr>
      <w:r w:rsidRPr="0070573E">
        <w:rPr>
          <w:rFonts w:ascii="Times New Roman" w:hAnsi="Times New Roman" w:cs="Times New Roman"/>
          <w:b/>
          <w:sz w:val="26"/>
          <w:szCs w:val="26"/>
        </w:rPr>
        <w:t xml:space="preserve">Câu </w:t>
      </w:r>
      <w:r>
        <w:rPr>
          <w:rFonts w:ascii="Times New Roman" w:hAnsi="Times New Roman" w:cs="Times New Roman"/>
          <w:b/>
          <w:sz w:val="26"/>
          <w:szCs w:val="26"/>
        </w:rPr>
        <w:t>16</w:t>
      </w:r>
      <w:r w:rsidRPr="0070573E">
        <w:rPr>
          <w:rFonts w:ascii="Times New Roman" w:hAnsi="Times New Roman" w:cs="Times New Roman"/>
          <w:b/>
          <w:sz w:val="26"/>
          <w:szCs w:val="26"/>
        </w:rPr>
        <w:t>: Có bao nhiêu đợt thực hiện khóa luận/năm và vào thời gian nào?</w:t>
      </w:r>
    </w:p>
    <w:p w:rsidR="00A866EF" w:rsidRPr="0070573E" w:rsidRDefault="00A866EF" w:rsidP="00766877">
      <w:pPr>
        <w:spacing w:after="0" w:line="360" w:lineRule="auto"/>
        <w:ind w:firstLine="720"/>
        <w:jc w:val="both"/>
        <w:rPr>
          <w:rFonts w:ascii="Times New Roman" w:hAnsi="Times New Roman" w:cs="Times New Roman"/>
          <w:sz w:val="26"/>
          <w:szCs w:val="26"/>
        </w:rPr>
      </w:pPr>
      <w:r w:rsidRPr="0070573E">
        <w:rPr>
          <w:rFonts w:ascii="Times New Roman" w:hAnsi="Times New Roman" w:cs="Times New Roman"/>
          <w:bCs/>
          <w:sz w:val="26"/>
          <w:szCs w:val="26"/>
        </w:rPr>
        <w:t>Trả lời</w:t>
      </w:r>
      <w:r>
        <w:rPr>
          <w:rFonts w:ascii="Times New Roman" w:hAnsi="Times New Roman" w:cs="Times New Roman"/>
          <w:sz w:val="26"/>
          <w:szCs w:val="26"/>
        </w:rPr>
        <w:t xml:space="preserve">: </w:t>
      </w:r>
      <w:r w:rsidRPr="0070573E">
        <w:rPr>
          <w:rFonts w:ascii="Times New Roman" w:hAnsi="Times New Roman" w:cs="Times New Roman"/>
          <w:sz w:val="26"/>
          <w:szCs w:val="26"/>
        </w:rPr>
        <w:t>Nhà trường tổ chức thực hiện khóa luận tốt nghiệp 3 đợt/năm và có thông báo kế hoạch thực hiện chi tiết cho từng đợt vào các tháng 3, 8, 10; thời gian thực hiện và hoàn thiện kết quả bảo vệ trong khoảng 14-16 tuần, tương ứng với các đợt xét tốt nghiệp tháng 7, tháng 12, tháng 3/6. Ngoài ra với những trường hợp đặc biệt, sinh viên có thể đề xuất nhà trường mở các đợt bảo vệ khóa luận bổ sung thông qua Khoa/Viện.</w:t>
      </w:r>
    </w:p>
    <w:p w:rsidR="00A866EF" w:rsidRPr="0070573E" w:rsidRDefault="00A866EF" w:rsidP="00766877">
      <w:pPr>
        <w:spacing w:after="0" w:line="360" w:lineRule="auto"/>
        <w:ind w:firstLine="720"/>
        <w:jc w:val="both"/>
        <w:rPr>
          <w:rFonts w:ascii="Times New Roman" w:hAnsi="Times New Roman" w:cs="Times New Roman"/>
          <w:b/>
          <w:sz w:val="26"/>
          <w:szCs w:val="26"/>
        </w:rPr>
      </w:pPr>
      <w:r w:rsidRPr="0070573E">
        <w:rPr>
          <w:rFonts w:ascii="Times New Roman" w:hAnsi="Times New Roman" w:cs="Times New Roman"/>
          <w:b/>
          <w:sz w:val="26"/>
          <w:szCs w:val="26"/>
        </w:rPr>
        <w:t xml:space="preserve">Câu </w:t>
      </w:r>
      <w:r>
        <w:rPr>
          <w:rFonts w:ascii="Times New Roman" w:hAnsi="Times New Roman" w:cs="Times New Roman"/>
          <w:b/>
          <w:sz w:val="26"/>
          <w:szCs w:val="26"/>
        </w:rPr>
        <w:t>17</w:t>
      </w:r>
      <w:r w:rsidRPr="0070573E">
        <w:rPr>
          <w:rFonts w:ascii="Times New Roman" w:hAnsi="Times New Roman" w:cs="Times New Roman"/>
          <w:b/>
          <w:sz w:val="26"/>
          <w:szCs w:val="26"/>
        </w:rPr>
        <w:t xml:space="preserve">: Điều kiện đăng ký </w:t>
      </w:r>
      <w:r>
        <w:rPr>
          <w:rFonts w:ascii="Times New Roman" w:hAnsi="Times New Roman" w:cs="Times New Roman"/>
          <w:b/>
          <w:sz w:val="26"/>
          <w:szCs w:val="26"/>
        </w:rPr>
        <w:t>thực hiện</w:t>
      </w:r>
      <w:r w:rsidRPr="0070573E">
        <w:rPr>
          <w:rFonts w:ascii="Times New Roman" w:hAnsi="Times New Roman" w:cs="Times New Roman"/>
          <w:b/>
          <w:sz w:val="26"/>
          <w:szCs w:val="26"/>
        </w:rPr>
        <w:t xml:space="preserve"> khóa luận tốt nghiệp?</w:t>
      </w:r>
    </w:p>
    <w:p w:rsidR="00A866EF" w:rsidRDefault="00A866EF" w:rsidP="00766877">
      <w:pPr>
        <w:spacing w:before="60" w:line="360" w:lineRule="auto"/>
        <w:ind w:firstLine="720"/>
        <w:jc w:val="both"/>
        <w:rPr>
          <w:rFonts w:ascii="Times New Roman" w:hAnsi="Times New Roman" w:cs="Times New Roman"/>
          <w:sz w:val="26"/>
          <w:szCs w:val="26"/>
        </w:rPr>
      </w:pPr>
      <w:r w:rsidRPr="0070573E">
        <w:rPr>
          <w:rFonts w:ascii="Times New Roman" w:hAnsi="Times New Roman" w:cs="Times New Roman"/>
          <w:bCs/>
          <w:sz w:val="26"/>
          <w:szCs w:val="26"/>
        </w:rPr>
        <w:t>Trả lời</w:t>
      </w:r>
      <w:r>
        <w:rPr>
          <w:rFonts w:ascii="Times New Roman" w:hAnsi="Times New Roman" w:cs="Times New Roman"/>
          <w:sz w:val="26"/>
          <w:szCs w:val="26"/>
        </w:rPr>
        <w:t>: Đối</w:t>
      </w:r>
      <w:r w:rsidRPr="00AD2B20">
        <w:rPr>
          <w:rFonts w:ascii="Times New Roman" w:hAnsi="Times New Roman" w:cs="Times New Roman"/>
          <w:sz w:val="26"/>
          <w:szCs w:val="26"/>
        </w:rPr>
        <w:t xml:space="preserve"> với sinh viên khóa QH2021E trở về trước: Sinh viên năm thứ tư, tích lũy 106 tín chỉ trở lên đối với chương trình đào tạo chuẩn, chương trình đào tạo thứ hai; 116 tín chỉ trở lên đối với chương trình đào tạo chất lượng cao, có điểm trung bình chung tất cả các học phần tính từ đầu khóa học đến thời điểm đăng ký khóa luận tốt nghiệp đạt từ 2,5 trở lên. </w:t>
      </w:r>
    </w:p>
    <w:p w:rsidR="00A866EF" w:rsidRPr="0070573E" w:rsidRDefault="00A866EF" w:rsidP="00766877">
      <w:pPr>
        <w:spacing w:before="60" w:line="360" w:lineRule="auto"/>
        <w:ind w:firstLine="720"/>
        <w:jc w:val="both"/>
        <w:rPr>
          <w:rFonts w:ascii="Times New Roman" w:hAnsi="Times New Roman" w:cs="Times New Roman"/>
          <w:sz w:val="26"/>
          <w:szCs w:val="26"/>
        </w:rPr>
      </w:pPr>
      <w:r>
        <w:rPr>
          <w:rFonts w:ascii="Times New Roman" w:hAnsi="Times New Roman" w:cs="Times New Roman"/>
          <w:sz w:val="26"/>
          <w:szCs w:val="26"/>
        </w:rPr>
        <w:t>Đ</w:t>
      </w:r>
      <w:r w:rsidRPr="00AD2B20">
        <w:rPr>
          <w:rFonts w:ascii="Times New Roman" w:hAnsi="Times New Roman" w:cs="Times New Roman"/>
          <w:sz w:val="26"/>
          <w:szCs w:val="26"/>
        </w:rPr>
        <w:t xml:space="preserve">ối với sinh viên từ khóa QH2022E: Sinh viên tích lũy từ 100 tín chỉ trở lên được đăng ký </w:t>
      </w:r>
      <w:r>
        <w:rPr>
          <w:rFonts w:ascii="Times New Roman" w:hAnsi="Times New Roman" w:cs="Times New Roman"/>
          <w:sz w:val="26"/>
          <w:szCs w:val="26"/>
        </w:rPr>
        <w:t>thực hiện</w:t>
      </w:r>
      <w:r w:rsidRPr="00AD2B20">
        <w:rPr>
          <w:rFonts w:ascii="Times New Roman" w:hAnsi="Times New Roman" w:cs="Times New Roman"/>
          <w:sz w:val="26"/>
          <w:szCs w:val="26"/>
        </w:rPr>
        <w:t xml:space="preserve"> khóa luận.</w:t>
      </w:r>
    </w:p>
    <w:p w:rsidR="00A866EF" w:rsidRPr="0070573E" w:rsidRDefault="00A866EF" w:rsidP="00766877">
      <w:pPr>
        <w:spacing w:before="60" w:line="360" w:lineRule="auto"/>
        <w:ind w:firstLine="720"/>
        <w:jc w:val="both"/>
        <w:rPr>
          <w:rFonts w:ascii="Times New Roman" w:hAnsi="Times New Roman" w:cs="Times New Roman"/>
          <w:sz w:val="26"/>
          <w:szCs w:val="26"/>
        </w:rPr>
      </w:pPr>
      <w:r w:rsidRPr="0070573E">
        <w:rPr>
          <w:rFonts w:ascii="Times New Roman" w:hAnsi="Times New Roman" w:cs="Times New Roman"/>
          <w:b/>
          <w:sz w:val="26"/>
          <w:szCs w:val="26"/>
        </w:rPr>
        <w:t xml:space="preserve">Câu </w:t>
      </w:r>
      <w:r>
        <w:rPr>
          <w:rFonts w:ascii="Times New Roman" w:hAnsi="Times New Roman" w:cs="Times New Roman"/>
          <w:b/>
          <w:sz w:val="26"/>
          <w:szCs w:val="26"/>
        </w:rPr>
        <w:t>18</w:t>
      </w:r>
      <w:r w:rsidRPr="0070573E">
        <w:rPr>
          <w:rFonts w:ascii="Times New Roman" w:hAnsi="Times New Roman" w:cs="Times New Roman"/>
          <w:b/>
          <w:sz w:val="26"/>
          <w:szCs w:val="26"/>
        </w:rPr>
        <w:t>: Học phần Tiếng Anh có được vào tín chỉ tích lũy khi đăng ký thực hiện khóa luận k</w:t>
      </w:r>
      <w:r>
        <w:rPr>
          <w:rFonts w:ascii="Times New Roman" w:hAnsi="Times New Roman" w:cs="Times New Roman"/>
          <w:b/>
          <w:sz w:val="26"/>
          <w:szCs w:val="26"/>
        </w:rPr>
        <w:t>hông</w:t>
      </w:r>
      <w:r w:rsidRPr="0070573E">
        <w:rPr>
          <w:rFonts w:ascii="Times New Roman" w:hAnsi="Times New Roman" w:cs="Times New Roman"/>
          <w:b/>
          <w:sz w:val="26"/>
          <w:szCs w:val="26"/>
        </w:rPr>
        <w:t>?</w:t>
      </w:r>
    </w:p>
    <w:p w:rsidR="00A866EF" w:rsidRPr="0070573E" w:rsidRDefault="00A866EF" w:rsidP="00766877">
      <w:pPr>
        <w:spacing w:before="60" w:line="360" w:lineRule="auto"/>
        <w:ind w:firstLine="720"/>
        <w:jc w:val="both"/>
        <w:rPr>
          <w:rFonts w:ascii="Times New Roman" w:hAnsi="Times New Roman" w:cs="Times New Roman"/>
          <w:sz w:val="26"/>
          <w:szCs w:val="26"/>
        </w:rPr>
      </w:pPr>
      <w:r w:rsidRPr="0070573E">
        <w:rPr>
          <w:rFonts w:ascii="Times New Roman" w:hAnsi="Times New Roman" w:cs="Times New Roman"/>
          <w:bCs/>
          <w:sz w:val="26"/>
          <w:szCs w:val="26"/>
        </w:rPr>
        <w:t>Trả lời</w:t>
      </w:r>
      <w:r>
        <w:rPr>
          <w:rFonts w:ascii="Times New Roman" w:hAnsi="Times New Roman" w:cs="Times New Roman"/>
          <w:sz w:val="26"/>
          <w:szCs w:val="26"/>
        </w:rPr>
        <w:t xml:space="preserve">: </w:t>
      </w:r>
      <w:r w:rsidRPr="0070573E">
        <w:rPr>
          <w:rFonts w:ascii="Times New Roman" w:hAnsi="Times New Roman" w:cs="Times New Roman"/>
          <w:sz w:val="26"/>
          <w:szCs w:val="26"/>
        </w:rPr>
        <w:t xml:space="preserve">Điều kiện về số tín chỉ tích lũy khi đăng ký làm khóa luận tốt nghiệp có bao </w:t>
      </w:r>
      <w:r>
        <w:rPr>
          <w:rFonts w:ascii="Times New Roman" w:hAnsi="Times New Roman" w:cs="Times New Roman"/>
          <w:sz w:val="26"/>
          <w:szCs w:val="26"/>
        </w:rPr>
        <w:t xml:space="preserve">gồm </w:t>
      </w:r>
      <w:r w:rsidRPr="0070573E">
        <w:rPr>
          <w:rFonts w:ascii="Times New Roman" w:hAnsi="Times New Roman" w:cs="Times New Roman"/>
          <w:sz w:val="26"/>
          <w:szCs w:val="26"/>
        </w:rPr>
        <w:t>tín chỉ học phần Tiếng Anh.</w:t>
      </w:r>
    </w:p>
    <w:p w:rsidR="00A866EF" w:rsidRPr="0070573E" w:rsidRDefault="00A866EF" w:rsidP="00766877">
      <w:pPr>
        <w:spacing w:after="0" w:line="360" w:lineRule="auto"/>
        <w:ind w:firstLine="720"/>
        <w:jc w:val="both"/>
        <w:rPr>
          <w:rFonts w:ascii="Times New Roman" w:hAnsi="Times New Roman" w:cs="Times New Roman"/>
          <w:b/>
          <w:sz w:val="26"/>
          <w:szCs w:val="26"/>
        </w:rPr>
      </w:pPr>
      <w:r w:rsidRPr="0070573E">
        <w:rPr>
          <w:rFonts w:ascii="Times New Roman" w:hAnsi="Times New Roman" w:cs="Times New Roman"/>
          <w:b/>
          <w:sz w:val="26"/>
          <w:szCs w:val="26"/>
        </w:rPr>
        <w:t xml:space="preserve">Câu </w:t>
      </w:r>
      <w:r>
        <w:rPr>
          <w:rFonts w:ascii="Times New Roman" w:hAnsi="Times New Roman" w:cs="Times New Roman"/>
          <w:b/>
          <w:sz w:val="26"/>
          <w:szCs w:val="26"/>
        </w:rPr>
        <w:t>19</w:t>
      </w:r>
      <w:r w:rsidRPr="0070573E">
        <w:rPr>
          <w:rFonts w:ascii="Times New Roman" w:hAnsi="Times New Roman" w:cs="Times New Roman"/>
          <w:b/>
          <w:sz w:val="26"/>
          <w:szCs w:val="26"/>
        </w:rPr>
        <w:t>: Điểm niên luận, khóa luận, thực tập thực tế sẽ được tính vào kỳ học nào?</w:t>
      </w:r>
    </w:p>
    <w:p w:rsidR="00A866EF" w:rsidRPr="0070573E" w:rsidRDefault="00A866EF" w:rsidP="00766877">
      <w:pPr>
        <w:pStyle w:val="ListBullet"/>
        <w:numPr>
          <w:ilvl w:val="0"/>
          <w:numId w:val="0"/>
        </w:numPr>
        <w:spacing w:line="360" w:lineRule="auto"/>
        <w:ind w:firstLine="720"/>
        <w:jc w:val="both"/>
        <w:rPr>
          <w:rFonts w:ascii="Times New Roman" w:hAnsi="Times New Roman"/>
          <w:b/>
          <w:bCs/>
          <w:sz w:val="26"/>
          <w:szCs w:val="26"/>
        </w:rPr>
      </w:pPr>
      <w:r w:rsidRPr="0070573E">
        <w:rPr>
          <w:rFonts w:ascii="Times New Roman" w:hAnsi="Times New Roman"/>
          <w:bCs/>
          <w:sz w:val="26"/>
          <w:szCs w:val="26"/>
        </w:rPr>
        <w:t>Trả lời</w:t>
      </w:r>
      <w:r>
        <w:rPr>
          <w:rFonts w:ascii="Times New Roman" w:hAnsi="Times New Roman"/>
          <w:sz w:val="26"/>
          <w:szCs w:val="26"/>
        </w:rPr>
        <w:t xml:space="preserve">: </w:t>
      </w:r>
      <w:r w:rsidRPr="0070573E">
        <w:rPr>
          <w:rFonts w:ascii="Times New Roman" w:hAnsi="Times New Roman"/>
          <w:sz w:val="26"/>
          <w:szCs w:val="26"/>
        </w:rPr>
        <w:t xml:space="preserve">Điểm niên luận, khóa luận, thực tập thực tế được tính vào thời điểm Khoa/Viện nộp </w:t>
      </w:r>
      <w:r>
        <w:rPr>
          <w:rFonts w:ascii="Times New Roman" w:hAnsi="Times New Roman"/>
          <w:sz w:val="26"/>
          <w:szCs w:val="26"/>
        </w:rPr>
        <w:t>kết quả</w:t>
      </w:r>
      <w:r w:rsidRPr="0070573E">
        <w:rPr>
          <w:rFonts w:ascii="Times New Roman" w:hAnsi="Times New Roman"/>
          <w:sz w:val="26"/>
          <w:szCs w:val="26"/>
        </w:rPr>
        <w:t xml:space="preserve"> điểm </w:t>
      </w:r>
      <w:r>
        <w:rPr>
          <w:rFonts w:ascii="Times New Roman" w:hAnsi="Times New Roman"/>
          <w:sz w:val="26"/>
          <w:szCs w:val="26"/>
        </w:rPr>
        <w:t xml:space="preserve">các học phần này </w:t>
      </w:r>
      <w:r w:rsidRPr="0070573E">
        <w:rPr>
          <w:rFonts w:ascii="Times New Roman" w:hAnsi="Times New Roman"/>
          <w:sz w:val="26"/>
          <w:szCs w:val="26"/>
        </w:rPr>
        <w:t>cho Phòng Đào tạo.</w:t>
      </w:r>
    </w:p>
    <w:p w:rsidR="00A866EF" w:rsidRPr="0070573E" w:rsidRDefault="00A866EF" w:rsidP="00766877">
      <w:pPr>
        <w:pStyle w:val="ListBullet"/>
        <w:numPr>
          <w:ilvl w:val="0"/>
          <w:numId w:val="0"/>
        </w:numPr>
        <w:spacing w:line="360" w:lineRule="auto"/>
        <w:ind w:firstLine="720"/>
        <w:jc w:val="both"/>
        <w:rPr>
          <w:rFonts w:ascii="Times New Roman" w:hAnsi="Times New Roman"/>
          <w:b/>
          <w:bCs/>
          <w:sz w:val="26"/>
          <w:szCs w:val="26"/>
        </w:rPr>
      </w:pPr>
      <w:r w:rsidRPr="0070573E">
        <w:rPr>
          <w:rFonts w:ascii="Times New Roman" w:hAnsi="Times New Roman"/>
          <w:b/>
          <w:bCs/>
          <w:sz w:val="26"/>
          <w:szCs w:val="26"/>
        </w:rPr>
        <w:t xml:space="preserve">Câu </w:t>
      </w:r>
      <w:r>
        <w:rPr>
          <w:rFonts w:ascii="Times New Roman" w:hAnsi="Times New Roman"/>
          <w:b/>
          <w:bCs/>
          <w:sz w:val="26"/>
          <w:szCs w:val="26"/>
        </w:rPr>
        <w:t>20</w:t>
      </w:r>
      <w:r w:rsidRPr="0070573E">
        <w:rPr>
          <w:rFonts w:ascii="Times New Roman" w:hAnsi="Times New Roman"/>
          <w:b/>
          <w:bCs/>
          <w:sz w:val="26"/>
          <w:szCs w:val="26"/>
        </w:rPr>
        <w:t>:  Nhà trường tổ chức phát bằng vào thời gian nào?</w:t>
      </w:r>
    </w:p>
    <w:p w:rsidR="00A866EF" w:rsidRPr="0070573E" w:rsidRDefault="00A866EF" w:rsidP="00766877">
      <w:pPr>
        <w:pStyle w:val="ListBullet"/>
        <w:numPr>
          <w:ilvl w:val="0"/>
          <w:numId w:val="0"/>
        </w:numPr>
        <w:spacing w:line="360" w:lineRule="auto"/>
        <w:ind w:firstLine="720"/>
        <w:jc w:val="both"/>
        <w:rPr>
          <w:rFonts w:ascii="Times New Roman" w:hAnsi="Times New Roman"/>
          <w:sz w:val="26"/>
          <w:szCs w:val="26"/>
        </w:rPr>
      </w:pPr>
      <w:r w:rsidRPr="0070573E">
        <w:rPr>
          <w:rFonts w:ascii="Times New Roman" w:hAnsi="Times New Roman"/>
          <w:bCs/>
          <w:sz w:val="26"/>
          <w:szCs w:val="26"/>
        </w:rPr>
        <w:t>Trả lời:</w:t>
      </w:r>
      <w:r w:rsidRPr="0070573E">
        <w:rPr>
          <w:rFonts w:ascii="Times New Roman" w:hAnsi="Times New Roman"/>
          <w:sz w:val="26"/>
          <w:szCs w:val="26"/>
        </w:rPr>
        <w:t xml:space="preserve"> Nhà trường tổ chức 02 Lễ trao bằng chính thức trong 1 năm: Tháng 01 và tháng 07 hàng năm.</w:t>
      </w:r>
      <w:r w:rsidRPr="0070573E">
        <w:rPr>
          <w:rFonts w:ascii="Times New Roman" w:hAnsi="Times New Roman"/>
          <w:noProof/>
          <w:sz w:val="26"/>
          <w:szCs w:val="26"/>
        </w:rPr>
        <w:t xml:space="preserve"> Sau Lễ trao bằng chính thức, sinh viên đến nhận bằng gốc tại Phòng Đào tạo vào thứ Năm hàng tuần (từ 14h30 đến 16h30).</w:t>
      </w:r>
    </w:p>
    <w:p w:rsidR="00A866EF" w:rsidRPr="0070573E" w:rsidRDefault="00A866EF" w:rsidP="00766877">
      <w:pPr>
        <w:pStyle w:val="ListBullet"/>
        <w:numPr>
          <w:ilvl w:val="0"/>
          <w:numId w:val="0"/>
        </w:numPr>
        <w:spacing w:line="360" w:lineRule="auto"/>
        <w:ind w:firstLine="720"/>
        <w:jc w:val="both"/>
        <w:rPr>
          <w:rFonts w:ascii="Times New Roman" w:hAnsi="Times New Roman"/>
          <w:b/>
          <w:bCs/>
          <w:sz w:val="26"/>
          <w:szCs w:val="26"/>
        </w:rPr>
      </w:pPr>
      <w:r w:rsidRPr="0070573E">
        <w:rPr>
          <w:rFonts w:ascii="Times New Roman" w:hAnsi="Times New Roman"/>
          <w:b/>
          <w:bCs/>
          <w:sz w:val="26"/>
          <w:szCs w:val="26"/>
        </w:rPr>
        <w:lastRenderedPageBreak/>
        <w:t xml:space="preserve">Câu </w:t>
      </w:r>
      <w:r>
        <w:rPr>
          <w:rFonts w:ascii="Times New Roman" w:hAnsi="Times New Roman"/>
          <w:b/>
          <w:bCs/>
          <w:sz w:val="26"/>
          <w:szCs w:val="26"/>
        </w:rPr>
        <w:t>21</w:t>
      </w:r>
      <w:r w:rsidRPr="0070573E">
        <w:rPr>
          <w:rFonts w:ascii="Times New Roman" w:hAnsi="Times New Roman"/>
          <w:b/>
          <w:bCs/>
          <w:sz w:val="26"/>
          <w:szCs w:val="26"/>
        </w:rPr>
        <w:t>: Các thủ tục sinh viên cần thực hiện trước khi tham dự Lễ trao bằng tốt nghiệp?</w:t>
      </w:r>
    </w:p>
    <w:p w:rsidR="00A866EF" w:rsidRPr="0070573E" w:rsidRDefault="00766877" w:rsidP="00766877">
      <w:pPr>
        <w:pStyle w:val="ListBullet"/>
        <w:numPr>
          <w:ilvl w:val="0"/>
          <w:numId w:val="0"/>
        </w:numPr>
        <w:spacing w:line="360" w:lineRule="auto"/>
        <w:ind w:firstLine="720"/>
        <w:jc w:val="both"/>
        <w:rPr>
          <w:rFonts w:ascii="Times New Roman" w:hAnsi="Times New Roman"/>
          <w:noProof/>
          <w:sz w:val="26"/>
          <w:szCs w:val="26"/>
        </w:rPr>
      </w:pPr>
      <w:r>
        <w:rPr>
          <w:rFonts w:ascii="Times New Roman" w:hAnsi="Times New Roman"/>
          <w:b/>
          <w:bCs/>
          <w:i/>
          <w:iCs/>
          <w:noProof/>
          <w:sz w:val="26"/>
          <w:szCs w:val="26"/>
        </w:rPr>
        <w:t xml:space="preserve"> </w:t>
      </w:r>
      <w:r w:rsidR="00A866EF" w:rsidRPr="0070573E">
        <w:rPr>
          <w:rFonts w:ascii="Times New Roman" w:hAnsi="Times New Roman"/>
          <w:bCs/>
          <w:iCs/>
          <w:noProof/>
          <w:sz w:val="26"/>
          <w:szCs w:val="26"/>
        </w:rPr>
        <w:t>Trả lời:</w:t>
      </w:r>
      <w:r w:rsidR="00A866EF" w:rsidRPr="0070573E">
        <w:rPr>
          <w:rFonts w:ascii="Times New Roman" w:hAnsi="Times New Roman"/>
          <w:b/>
          <w:bCs/>
          <w:i/>
          <w:iCs/>
          <w:noProof/>
          <w:sz w:val="26"/>
          <w:szCs w:val="26"/>
        </w:rPr>
        <w:t xml:space="preserve"> </w:t>
      </w:r>
      <w:r w:rsidR="00A866EF" w:rsidRPr="0070573E">
        <w:rPr>
          <w:rFonts w:ascii="Times New Roman" w:hAnsi="Times New Roman"/>
          <w:noProof/>
          <w:sz w:val="26"/>
          <w:szCs w:val="26"/>
        </w:rPr>
        <w:t xml:space="preserve">Sinh viên đăng ký tham dự Lễ trao bằng tại các Khoa/Viện theo thời gian quy định tại Thông báo Lễ trao bằng. Sinh viên hoàn trả đầy đủ sách, tài liệu mượn tại Trung tâm Thư viện và Tri thức số thuộc ĐHQGHN và hoàn thành đóng học phí theo quy định của Nhà trường trước ngày nhận bằng tốt nghiệp. </w:t>
      </w:r>
    </w:p>
    <w:p w:rsidR="00A866EF" w:rsidRPr="000C0818" w:rsidRDefault="00A866EF" w:rsidP="00766877">
      <w:pPr>
        <w:pStyle w:val="ListBullet"/>
        <w:numPr>
          <w:ilvl w:val="0"/>
          <w:numId w:val="0"/>
        </w:numPr>
        <w:spacing w:line="360" w:lineRule="auto"/>
        <w:ind w:firstLine="720"/>
        <w:jc w:val="both"/>
        <w:rPr>
          <w:rFonts w:ascii="Times New Roman" w:hAnsi="Times New Roman"/>
          <w:b/>
          <w:noProof/>
          <w:sz w:val="26"/>
          <w:szCs w:val="26"/>
        </w:rPr>
      </w:pPr>
      <w:r w:rsidRPr="000C0818">
        <w:rPr>
          <w:rFonts w:ascii="Times New Roman" w:hAnsi="Times New Roman"/>
          <w:b/>
          <w:bCs/>
          <w:sz w:val="26"/>
          <w:szCs w:val="26"/>
        </w:rPr>
        <w:t xml:space="preserve">Câu 22: </w:t>
      </w:r>
      <w:r w:rsidRPr="000C0818">
        <w:rPr>
          <w:rFonts w:ascii="Times New Roman" w:hAnsi="Times New Roman"/>
          <w:b/>
          <w:bCs/>
          <w:noProof/>
          <w:sz w:val="26"/>
          <w:szCs w:val="26"/>
        </w:rPr>
        <w:t>Sinh viên cần</w:t>
      </w:r>
      <w:r w:rsidRPr="000C0818">
        <w:rPr>
          <w:rFonts w:ascii="Times New Roman" w:hAnsi="Times New Roman"/>
          <w:b/>
          <w:noProof/>
          <w:sz w:val="26"/>
          <w:szCs w:val="26"/>
        </w:rPr>
        <w:t xml:space="preserve"> mang theo giấy tờ gì khi đến nhận bằng?</w:t>
      </w:r>
    </w:p>
    <w:p w:rsidR="00A866EF" w:rsidRPr="0070573E" w:rsidRDefault="00A866EF" w:rsidP="00766877">
      <w:pPr>
        <w:pStyle w:val="ListBullet"/>
        <w:numPr>
          <w:ilvl w:val="0"/>
          <w:numId w:val="0"/>
        </w:numPr>
        <w:spacing w:line="360" w:lineRule="auto"/>
        <w:ind w:firstLine="720"/>
        <w:jc w:val="both"/>
        <w:rPr>
          <w:rFonts w:ascii="Times New Roman" w:hAnsi="Times New Roman"/>
          <w:noProof/>
          <w:sz w:val="26"/>
          <w:szCs w:val="26"/>
        </w:rPr>
      </w:pPr>
      <w:bookmarkStart w:id="0" w:name="_GoBack"/>
      <w:bookmarkEnd w:id="0"/>
      <w:r w:rsidRPr="0070573E">
        <w:rPr>
          <w:rFonts w:ascii="Times New Roman" w:hAnsi="Times New Roman"/>
          <w:noProof/>
          <w:sz w:val="26"/>
          <w:szCs w:val="26"/>
        </w:rPr>
        <w:t xml:space="preserve">Trả lời: Sinh viên mang theo CMND/CCCD/hộ chiếu khi đến nhận bằng tốt nghiệp. </w:t>
      </w:r>
    </w:p>
    <w:p w:rsidR="00A866EF" w:rsidRPr="0070573E" w:rsidRDefault="00A866EF" w:rsidP="0076687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Trong trường hợp ủy quyền người khác nhận hộ, đề nghị sinh viên phải làm thủ tục uỷ quyền theo quy định của pháp luật </w:t>
      </w:r>
      <w:r w:rsidRPr="0070573E">
        <w:rPr>
          <w:rFonts w:ascii="Times New Roman" w:hAnsi="Times New Roman"/>
          <w:b/>
          <w:i/>
          <w:noProof/>
          <w:sz w:val="26"/>
          <w:szCs w:val="26"/>
        </w:rPr>
        <w:t>(mẫu Giấy ủy quyền liên hệ Phòng Đào tạo)</w:t>
      </w:r>
      <w:r w:rsidRPr="0070573E">
        <w:rPr>
          <w:rFonts w:ascii="Times New Roman" w:hAnsi="Times New Roman"/>
          <w:noProof/>
          <w:sz w:val="26"/>
          <w:szCs w:val="26"/>
        </w:rPr>
        <w:t xml:space="preserve">. </w:t>
      </w:r>
    </w:p>
    <w:p w:rsidR="00A866EF" w:rsidRPr="0070573E" w:rsidRDefault="00A866EF" w:rsidP="00766877">
      <w:pPr>
        <w:pStyle w:val="ListBullet"/>
        <w:numPr>
          <w:ilvl w:val="0"/>
          <w:numId w:val="0"/>
        </w:numPr>
        <w:spacing w:line="360" w:lineRule="auto"/>
        <w:ind w:firstLine="720"/>
        <w:jc w:val="both"/>
        <w:rPr>
          <w:rFonts w:ascii="Times New Roman" w:hAnsi="Times New Roman"/>
          <w:i/>
          <w:iCs/>
          <w:noProof/>
          <w:sz w:val="26"/>
          <w:szCs w:val="26"/>
        </w:rPr>
      </w:pPr>
      <w:r w:rsidRPr="0070573E">
        <w:rPr>
          <w:rFonts w:ascii="Times New Roman" w:hAnsi="Times New Roman"/>
          <w:i/>
          <w:iCs/>
          <w:noProof/>
          <w:sz w:val="26"/>
          <w:szCs w:val="26"/>
        </w:rPr>
        <w:t>Người được ủy quyền cần mang theo:</w:t>
      </w:r>
    </w:p>
    <w:p w:rsidR="00A866EF" w:rsidRPr="0070573E" w:rsidRDefault="00A866EF" w:rsidP="0076687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(1) Giấy ủy quyền (có đầy đủ chữ ký của người ủy quyền và người được ủy quyền có xác nhận của UBND xã/phường hoặc phòng công chứng);</w:t>
      </w:r>
    </w:p>
    <w:p w:rsidR="00A866EF" w:rsidRPr="0070573E" w:rsidRDefault="00A866EF" w:rsidP="0076687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(2) Thẻ sinh viên;</w:t>
      </w:r>
    </w:p>
    <w:p w:rsidR="00A866EF" w:rsidRDefault="00A866EF" w:rsidP="0076687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(3) Bản sao công chứng CMND/CCCD của người ủy quyền và người được ủy quyền;</w:t>
      </w:r>
    </w:p>
    <w:p w:rsidR="00A866EF" w:rsidRPr="00A866EF" w:rsidRDefault="00A866EF" w:rsidP="00766877">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(4) CMND/CCCD của người được ủy quyền;</w:t>
      </w:r>
    </w:p>
    <w:p w:rsidR="001F443A" w:rsidRDefault="001F443A"/>
    <w:sectPr w:rsidR="001F443A" w:rsidSect="00A866E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14D4B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EF"/>
    <w:rsid w:val="00165E85"/>
    <w:rsid w:val="001F443A"/>
    <w:rsid w:val="00766877"/>
    <w:rsid w:val="00A8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7EBC"/>
  <w15:chartTrackingRefBased/>
  <w15:docId w15:val="{3447D952-DAD4-4FE1-89F8-B7292670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866EF"/>
    <w:pPr>
      <w:numPr>
        <w:numId w:val="1"/>
      </w:numPr>
      <w:spacing w:after="0" w:line="240" w:lineRule="auto"/>
    </w:pPr>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UEB3671</dc:creator>
  <cp:keywords/>
  <dc:description/>
  <cp:lastModifiedBy>UEB3671</cp:lastModifiedBy>
  <cp:revision>2</cp:revision>
  <dcterms:created xsi:type="dcterms:W3CDTF">2023-02-03T02:45:00Z</dcterms:created>
  <dcterms:modified xsi:type="dcterms:W3CDTF">2023-02-03T03:11:00Z</dcterms:modified>
</cp:coreProperties>
</file>